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D54691" w:rsidP="005B00E2">
      <w:r>
        <w:rPr>
          <w:noProof/>
        </w:rPr>
        <w:pict>
          <v:shapetype id="_x0000_t202" coordsize="21600,21600" o:spt="202" path="m,l,21600r21600,l21600,xe">
            <v:stroke joinstyle="miter"/>
            <v:path gradientshapeok="t" o:connecttype="rect"/>
          </v:shapetype>
          <v:shape id="Text Box 2" o:spid="_x0000_s1487" type="#_x0000_t202" style="position:absolute;left:0;text-align:left;margin-left:10.75pt;margin-top:70.2pt;width:162pt;height:67.85pt;z-index:2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stroked="f">
            <v:textbox>
              <w:txbxContent>
                <w:p w:rsidR="00D54691" w:rsidRPr="00D54691" w:rsidRDefault="00D54691">
                  <w:r w:rsidRPr="005F530E">
                    <w:rPr>
                      <w:rFonts w:ascii="AR BERKLEY" w:hAnsi="AR BERKLEY"/>
                    </w:rPr>
                    <w:t>A teacher who is attempting</w:t>
                  </w:r>
                  <w:r w:rsidRPr="005F530E">
                    <w:rPr>
                      <w:rFonts w:ascii="AR BERKLEY" w:hAnsi="AR BERKLEY"/>
                      <w:color w:val="8080FF"/>
                      <w:sz w:val="48"/>
                      <w:szCs w:val="48"/>
                    </w:rPr>
                    <w:t xml:space="preserve"> </w:t>
                  </w:r>
                  <w:r w:rsidRPr="005F530E">
                    <w:rPr>
                      <w:rFonts w:ascii="AR BERKLEY" w:hAnsi="AR BERKLEY"/>
                    </w:rPr>
                    <w:t>to teach without</w:t>
                  </w:r>
                  <w:r w:rsidRPr="005F530E">
                    <w:rPr>
                      <w:rFonts w:ascii="AR BERKLEY" w:hAnsi="AR BERKLEY"/>
                      <w:color w:val="8080FF"/>
                      <w:sz w:val="48"/>
                      <w:szCs w:val="48"/>
                    </w:rPr>
                    <w:t xml:space="preserve"> </w:t>
                  </w:r>
                  <w:r w:rsidRPr="005F530E">
                    <w:rPr>
                      <w:rFonts w:ascii="AR BERKLEY" w:hAnsi="AR BERKLEY"/>
                    </w:rPr>
                    <w:t>inspiring the pupil with a desire to learn</w:t>
                  </w:r>
                  <w:r w:rsidRPr="005F530E">
                    <w:rPr>
                      <w:rFonts w:ascii="AR BERKLEY" w:hAnsi="AR BERKLEY"/>
                      <w:color w:val="8080FF"/>
                      <w:sz w:val="48"/>
                      <w:szCs w:val="48"/>
                    </w:rPr>
                    <w:t xml:space="preserve"> </w:t>
                  </w:r>
                  <w:r w:rsidRPr="005F530E">
                    <w:rPr>
                      <w:rFonts w:ascii="AR BERKLEY" w:hAnsi="AR BERKLEY"/>
                    </w:rPr>
                    <w:t>is hammering on</w:t>
                  </w:r>
                  <w:r w:rsidRPr="005F530E">
                    <w:rPr>
                      <w:rFonts w:ascii="AR BERKLEY" w:hAnsi="AR BERKLEY"/>
                      <w:color w:val="8080FF"/>
                      <w:sz w:val="48"/>
                      <w:szCs w:val="48"/>
                    </w:rPr>
                    <w:t xml:space="preserve"> </w:t>
                  </w:r>
                  <w:r w:rsidRPr="005F530E">
                    <w:rPr>
                      <w:rFonts w:ascii="AR BERKLEY" w:hAnsi="AR BERKLEY"/>
                    </w:rPr>
                    <w:t>a cold iron</w:t>
                  </w:r>
                  <w:r w:rsidRPr="00D54691">
                    <w:t xml:space="preserve">. </w:t>
                  </w:r>
                  <w:r w:rsidR="00276DC7">
                    <w:br/>
                  </w:r>
                  <w:r w:rsidRPr="00D54691">
                    <w:t>-</w:t>
                  </w:r>
                  <w:r w:rsidRPr="005F530E">
                    <w:rPr>
                      <w:rFonts w:ascii="AR BERKLEY" w:hAnsi="AR BERKLEY"/>
                    </w:rPr>
                    <w:t>Horace Mann</w:t>
                  </w:r>
                </w:p>
              </w:txbxContent>
            </v:textbox>
          </v:shape>
        </w:pict>
      </w:r>
      <w:r w:rsidR="00D07123">
        <w:rPr>
          <w:noProof/>
        </w:rPr>
        <w:pict>
          <v:shape id="_x0000_s1277" type="#_x0000_t202" style="position:absolute;left:0;text-align:left;margin-left:48.2pt;margin-top:288.15pt;width:167.75pt;height:329.9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2.85pt,2.85pt,2.85pt,2.85pt">
              <w:txbxContent>
                <w:p w:rsidR="00D07123" w:rsidRPr="00D07123" w:rsidRDefault="00D07123" w:rsidP="00D07123">
                  <w:pPr>
                    <w:rPr>
                      <w:rStyle w:val="Emphasis"/>
                    </w:rPr>
                  </w:pPr>
                  <w:r w:rsidRPr="00D07123">
                    <w:rPr>
                      <w:rStyle w:val="Emphasis"/>
                    </w:rPr>
                    <w:t>Male learners:</w:t>
                  </w:r>
                </w:p>
                <w:p w:rsidR="00D07123" w:rsidRPr="00D07123" w:rsidRDefault="00D07123" w:rsidP="00D07123">
                  <w:pPr>
                    <w:numPr>
                      <w:ilvl w:val="0"/>
                      <w:numId w:val="11"/>
                    </w:numPr>
                    <w:rPr>
                      <w:rStyle w:val="Emphasis"/>
                    </w:rPr>
                  </w:pPr>
                  <w:r>
                    <w:rPr>
                      <w:rStyle w:val="Emphasis"/>
                    </w:rPr>
                    <w:t>H</w:t>
                  </w:r>
                  <w:r w:rsidRPr="00D07123">
                    <w:rPr>
                      <w:rStyle w:val="Emphasis"/>
                    </w:rPr>
                    <w:t>ave trouble focusing</w:t>
                  </w:r>
                  <w:r>
                    <w:rPr>
                      <w:rStyle w:val="Emphasis"/>
                    </w:rPr>
                    <w:t xml:space="preserve"> because their brains go into “rest”</w:t>
                  </w:r>
                  <w:r w:rsidR="005F530E">
                    <w:rPr>
                      <w:rStyle w:val="Emphasis"/>
                    </w:rPr>
                    <w:t xml:space="preserve"> mode when not stimulated</w:t>
                  </w:r>
                </w:p>
                <w:p w:rsidR="00D07123" w:rsidRPr="00D07123" w:rsidRDefault="00D07123" w:rsidP="00D07123">
                  <w:pPr>
                    <w:numPr>
                      <w:ilvl w:val="0"/>
                      <w:numId w:val="11"/>
                    </w:numPr>
                    <w:rPr>
                      <w:rStyle w:val="Emphasis"/>
                    </w:rPr>
                  </w:pPr>
                  <w:r>
                    <w:rPr>
                      <w:rStyle w:val="Emphasis"/>
                    </w:rPr>
                    <w:t>H</w:t>
                  </w:r>
                  <w:r w:rsidRPr="00D07123">
                    <w:rPr>
                      <w:rStyle w:val="Emphasis"/>
                    </w:rPr>
                    <w:t>ave trouble sitting still for long periods of time</w:t>
                  </w:r>
                </w:p>
                <w:p w:rsidR="00D07123" w:rsidRPr="00D07123" w:rsidRDefault="00D07123" w:rsidP="00D07123">
                  <w:pPr>
                    <w:numPr>
                      <w:ilvl w:val="0"/>
                      <w:numId w:val="11"/>
                    </w:numPr>
                    <w:rPr>
                      <w:rStyle w:val="Emphasis"/>
                    </w:rPr>
                  </w:pPr>
                  <w:r>
                    <w:rPr>
                      <w:rStyle w:val="Emphasis"/>
                    </w:rPr>
                    <w:t>W</w:t>
                  </w:r>
                  <w:r w:rsidRPr="00D07123">
                    <w:rPr>
                      <w:rStyle w:val="Emphasis"/>
                    </w:rPr>
                    <w:t>ant to focus on one topic</w:t>
                  </w:r>
                  <w:r>
                    <w:rPr>
                      <w:rStyle w:val="Emphasis"/>
                    </w:rPr>
                    <w:t xml:space="preserve"> of interest</w:t>
                  </w:r>
                  <w:r w:rsidRPr="00D07123">
                    <w:rPr>
                      <w:rStyle w:val="Emphasis"/>
                    </w:rPr>
                    <w:t xml:space="preserve"> instead of moving between topics</w:t>
                  </w:r>
                </w:p>
                <w:p w:rsidR="00D07123" w:rsidRPr="00D07123" w:rsidRDefault="00D07123" w:rsidP="00D07123">
                  <w:pPr>
                    <w:numPr>
                      <w:ilvl w:val="0"/>
                      <w:numId w:val="11"/>
                    </w:numPr>
                    <w:rPr>
                      <w:rStyle w:val="Emphasis"/>
                    </w:rPr>
                  </w:pPr>
                  <w:r>
                    <w:rPr>
                      <w:rStyle w:val="Emphasis"/>
                    </w:rPr>
                    <w:t>D</w:t>
                  </w:r>
                  <w:r w:rsidRPr="00D07123">
                    <w:rPr>
                      <w:rStyle w:val="Emphasis"/>
                    </w:rPr>
                    <w:t>on’t want to read textbooks</w:t>
                  </w:r>
                </w:p>
                <w:p w:rsidR="00D07123" w:rsidRPr="00D07123" w:rsidRDefault="00D07123" w:rsidP="00D07123">
                  <w:pPr>
                    <w:numPr>
                      <w:ilvl w:val="0"/>
                      <w:numId w:val="11"/>
                    </w:numPr>
                    <w:rPr>
                      <w:rStyle w:val="Emphasis"/>
                    </w:rPr>
                  </w:pPr>
                  <w:r>
                    <w:rPr>
                      <w:rStyle w:val="Emphasis"/>
                    </w:rPr>
                    <w:t>G</w:t>
                  </w:r>
                  <w:r w:rsidRPr="00D07123">
                    <w:rPr>
                      <w:rStyle w:val="Emphasis"/>
                    </w:rPr>
                    <w:t>et bored easily</w:t>
                  </w:r>
                </w:p>
                <w:p w:rsidR="00D07123" w:rsidRPr="00D07123" w:rsidRDefault="00D07123" w:rsidP="00D07123">
                  <w:pPr>
                    <w:numPr>
                      <w:ilvl w:val="0"/>
                      <w:numId w:val="11"/>
                    </w:numPr>
                    <w:rPr>
                      <w:rStyle w:val="Emphasis"/>
                    </w:rPr>
                  </w:pPr>
                  <w:r>
                    <w:rPr>
                      <w:rStyle w:val="Emphasis"/>
                    </w:rPr>
                    <w:t>W</w:t>
                  </w:r>
                  <w:r w:rsidRPr="00D07123">
                    <w:rPr>
                      <w:rStyle w:val="Emphasis"/>
                    </w:rPr>
                    <w:t>ant to be physical</w:t>
                  </w:r>
                  <w:r>
                    <w:rPr>
                      <w:rStyle w:val="Emphasis"/>
                    </w:rPr>
                    <w:t>ly active</w:t>
                  </w:r>
                </w:p>
                <w:p w:rsidR="00D07123" w:rsidRPr="00D07123" w:rsidRDefault="00D07123" w:rsidP="00D07123">
                  <w:pPr>
                    <w:numPr>
                      <w:ilvl w:val="0"/>
                      <w:numId w:val="11"/>
                    </w:numPr>
                    <w:rPr>
                      <w:rStyle w:val="Emphasis"/>
                    </w:rPr>
                  </w:pPr>
                  <w:r>
                    <w:rPr>
                      <w:rStyle w:val="Emphasis"/>
                    </w:rPr>
                    <w:t>D</w:t>
                  </w:r>
                  <w:r w:rsidRPr="00D07123">
                    <w:rPr>
                      <w:rStyle w:val="Emphasis"/>
                    </w:rPr>
                    <w:t>on’t see the point in school</w:t>
                  </w:r>
                  <w:r>
                    <w:rPr>
                      <w:rStyle w:val="Emphasis"/>
                    </w:rPr>
                    <w:t xml:space="preserve"> if they are not successful or get labeled “disruptive”</w:t>
                  </w:r>
                </w:p>
                <w:p w:rsidR="00D07123" w:rsidRDefault="00D07123" w:rsidP="00D07123">
                  <w:pPr>
                    <w:numPr>
                      <w:ilvl w:val="0"/>
                      <w:numId w:val="11"/>
                    </w:numPr>
                    <w:rPr>
                      <w:rStyle w:val="Emphasis"/>
                    </w:rPr>
                  </w:pPr>
                  <w:r>
                    <w:rPr>
                      <w:rStyle w:val="Emphasis"/>
                    </w:rPr>
                    <w:t>D</w:t>
                  </w:r>
                  <w:r w:rsidR="005F530E">
                    <w:rPr>
                      <w:rStyle w:val="Emphasis"/>
                    </w:rPr>
                    <w:t xml:space="preserve">on’t understand </w:t>
                  </w:r>
                  <w:r w:rsidRPr="00D07123">
                    <w:rPr>
                      <w:rStyle w:val="Emphasis"/>
                    </w:rPr>
                    <w:t>directions given</w:t>
                  </w:r>
                  <w:r>
                    <w:rPr>
                      <w:rStyle w:val="Emphasis"/>
                    </w:rPr>
                    <w:t xml:space="preserve"> orally</w:t>
                  </w:r>
                  <w:r w:rsidRPr="00D07123">
                    <w:rPr>
                      <w:rStyle w:val="Emphasis"/>
                    </w:rPr>
                    <w:t xml:space="preserve"> from the teacher.</w:t>
                  </w:r>
                </w:p>
                <w:p w:rsidR="00D07123" w:rsidRPr="00390007" w:rsidRDefault="00D07123" w:rsidP="00D07123">
                  <w:pPr>
                    <w:ind w:left="720"/>
                    <w:jc w:val="right"/>
                    <w:rPr>
                      <w:rStyle w:val="Emphasis"/>
                      <w:sz w:val="16"/>
                    </w:rPr>
                  </w:pPr>
                  <w:proofErr w:type="spellStart"/>
                  <w:r w:rsidRPr="00390007">
                    <w:rPr>
                      <w:rStyle w:val="Emphasis"/>
                      <w:sz w:val="16"/>
                    </w:rPr>
                    <w:t>Gurian</w:t>
                  </w:r>
                  <w:proofErr w:type="spellEnd"/>
                  <w:r w:rsidRPr="00390007">
                    <w:rPr>
                      <w:rStyle w:val="Emphasis"/>
                      <w:sz w:val="16"/>
                    </w:rPr>
                    <w:t>, 2005</w:t>
                  </w:r>
                </w:p>
                <w:p w:rsidR="00C044B2" w:rsidRPr="005B00E2" w:rsidRDefault="00C044B2" w:rsidP="002525D6">
                  <w:pPr>
                    <w:pStyle w:val="BodyText1"/>
                  </w:pPr>
                </w:p>
              </w:txbxContent>
            </v:textbox>
            <w10:wrap anchorx="page" anchory="page"/>
          </v:shape>
        </w:pict>
      </w:r>
      <w:r w:rsidR="003E1D09">
        <w:rPr>
          <w:noProof/>
        </w:rPr>
        <w:pict>
          <v:shape id="_x0000_s1274" type="#_x0000_t202" style="position:absolute;left:0;text-align:left;margin-left:0;margin-top:87.65pt;width:212.45pt;height:479.15pt;z-index:2;visibility:visible;mso-wrap-edited:f;mso-wrap-distance-left:2.88pt;mso-wrap-distance-top:2.88pt;mso-wrap-distance-right:2.88pt;mso-wrap-distance-bottom:2.88pt;mso-position-horizontal:center;mso-position-horizontal-relative:page;mso-position-vertical-relative:page" filled="f" stroked="f" strokeweight="0" insetpen="t" o:cliptowrap="t">
            <v:shadow color="#ccc"/>
            <o:lock v:ext="edit" shapetype="t"/>
            <v:textbox style="mso-next-textbox:#_x0000_s1274;mso-column-margin:5.7pt" inset="2.85pt,2.85pt,2.85pt,2.85pt">
              <w:txbxContent>
                <w:p w:rsidR="00703E71" w:rsidRPr="00703E71" w:rsidRDefault="00703E71" w:rsidP="00703E71">
                  <w:pPr>
                    <w:pStyle w:val="Bibliography"/>
                    <w:ind w:left="720" w:hanging="720"/>
                    <w:rPr>
                      <w:rFonts w:ascii="Tahoma" w:hAnsi="Tahoma" w:cs="Tahoma"/>
                      <w:b/>
                      <w:noProof/>
                      <w:sz w:val="24"/>
                    </w:rPr>
                  </w:pPr>
                  <w:r w:rsidRPr="00703E71">
                    <w:rPr>
                      <w:rFonts w:ascii="Tahoma" w:hAnsi="Tahoma" w:cs="Tahoma"/>
                      <w:b/>
                      <w:noProof/>
                      <w:sz w:val="24"/>
                    </w:rPr>
                    <w:t>References</w:t>
                  </w:r>
                </w:p>
                <w:p w:rsidR="00703E71" w:rsidRDefault="00703E71" w:rsidP="00703E71">
                  <w:pPr>
                    <w:pStyle w:val="Bibliography"/>
                    <w:ind w:left="720" w:hanging="720"/>
                    <w:rPr>
                      <w:noProof/>
                    </w:rPr>
                  </w:pPr>
                  <w:r>
                    <w:rPr>
                      <w:noProof/>
                    </w:rPr>
                    <w:t xml:space="preserve">Gurian, M. (2005). </w:t>
                  </w:r>
                  <w:r>
                    <w:rPr>
                      <w:i/>
                      <w:iCs/>
                      <w:noProof/>
                    </w:rPr>
                    <w:t>The minds of boys: Saving our sons from falling behind in school and life.</w:t>
                  </w:r>
                  <w:r>
                    <w:rPr>
                      <w:noProof/>
                    </w:rPr>
                    <w:t xml:space="preserve"> San Francisco, CA: Jossey-Bass.</w:t>
                  </w:r>
                </w:p>
                <w:p w:rsidR="00703E71" w:rsidRDefault="00703E71" w:rsidP="00703E71">
                  <w:pPr>
                    <w:pStyle w:val="Bibliography"/>
                    <w:ind w:left="720" w:hanging="720"/>
                    <w:rPr>
                      <w:noProof/>
                    </w:rPr>
                  </w:pPr>
                  <w:r>
                    <w:rPr>
                      <w:noProof/>
                    </w:rPr>
                    <w:t xml:space="preserve">Gurian, M. (2011). </w:t>
                  </w:r>
                  <w:r>
                    <w:rPr>
                      <w:i/>
                      <w:iCs/>
                      <w:noProof/>
                    </w:rPr>
                    <w:t>Boys and girls learn differently: A guide for teachers and parents.</w:t>
                  </w:r>
                  <w:r>
                    <w:rPr>
                      <w:noProof/>
                    </w:rPr>
                    <w:t xml:space="preserve"> San Francisco, CA: Jossey-Bass.</w:t>
                  </w:r>
                </w:p>
                <w:p w:rsidR="00703E71" w:rsidRDefault="00703E71" w:rsidP="00703E71">
                  <w:pPr>
                    <w:pStyle w:val="Bibliography"/>
                    <w:ind w:left="720" w:hanging="720"/>
                    <w:rPr>
                      <w:noProof/>
                    </w:rPr>
                  </w:pPr>
                  <w:r>
                    <w:rPr>
                      <w:noProof/>
                    </w:rPr>
                    <w:t xml:space="preserve">Gurian, M. (2006, September). Teaching to student strengths. </w:t>
                  </w:r>
                  <w:r>
                    <w:rPr>
                      <w:i/>
                      <w:iCs/>
                      <w:noProof/>
                    </w:rPr>
                    <w:t>Educational Leadership</w:t>
                  </w:r>
                  <w:r>
                    <w:rPr>
                      <w:noProof/>
                    </w:rPr>
                    <w:t>, pp. 56-61.</w:t>
                  </w:r>
                </w:p>
                <w:p w:rsidR="00703E71" w:rsidRDefault="00703E71" w:rsidP="00703E71">
                  <w:pPr>
                    <w:pStyle w:val="Bibliography"/>
                    <w:ind w:left="720" w:hanging="720"/>
                    <w:rPr>
                      <w:noProof/>
                    </w:rPr>
                  </w:pPr>
                  <w:r>
                    <w:rPr>
                      <w:noProof/>
                    </w:rPr>
                    <w:t xml:space="preserve">Holz, O. (2008). </w:t>
                  </w:r>
                  <w:r>
                    <w:rPr>
                      <w:i/>
                      <w:iCs/>
                      <w:noProof/>
                    </w:rPr>
                    <w:t>Pedagogic approaches to learning and teaching with boys- A European perspective: Current situation trends findings.</w:t>
                  </w:r>
                  <w:r>
                    <w:rPr>
                      <w:noProof/>
                    </w:rPr>
                    <w:t xml:space="preserve"> Munster, Germany: Waxmann.</w:t>
                  </w:r>
                </w:p>
                <w:p w:rsidR="00703E71" w:rsidRDefault="00703E71" w:rsidP="00703E71">
                  <w:pPr>
                    <w:pStyle w:val="Bibliography"/>
                    <w:ind w:left="720" w:hanging="720"/>
                    <w:rPr>
                      <w:noProof/>
                    </w:rPr>
                  </w:pPr>
                  <w:r>
                    <w:rPr>
                      <w:noProof/>
                    </w:rPr>
                    <w:t xml:space="preserve">Stevens, M. G. (2010). </w:t>
                  </w:r>
                  <w:r>
                    <w:rPr>
                      <w:i/>
                      <w:iCs/>
                      <w:noProof/>
                    </w:rPr>
                    <w:t>10 essential standards for teaching boys effectively</w:t>
                  </w:r>
                  <w:r>
                    <w:rPr>
                      <w:noProof/>
                    </w:rPr>
                    <w:t>. Retrieved 2012, from ASCD Express: http://www.ascd.org/ascd-express/vol6/604-gurian.aspx</w:t>
                  </w:r>
                </w:p>
                <w:p w:rsidR="00703E71" w:rsidRDefault="00703E71" w:rsidP="00703E71">
                  <w:pPr>
                    <w:pStyle w:val="Bibliography"/>
                    <w:ind w:left="720" w:hanging="720"/>
                    <w:rPr>
                      <w:noProof/>
                    </w:rPr>
                  </w:pPr>
                  <w:r>
                    <w:rPr>
                      <w:noProof/>
                    </w:rPr>
                    <w:t xml:space="preserve">Young, H. Y. (2010). </w:t>
                  </w:r>
                  <w:r>
                    <w:rPr>
                      <w:i/>
                      <w:iCs/>
                      <w:noProof/>
                    </w:rPr>
                    <w:t>Raising real men: Surviving, teaching, and appreciating boys.</w:t>
                  </w:r>
                  <w:r>
                    <w:rPr>
                      <w:noProof/>
                    </w:rPr>
                    <w:t xml:space="preserve"> Smithfield, NC: Great Waters Press.</w:t>
                  </w:r>
                </w:p>
                <w:p w:rsidR="00703E71" w:rsidRDefault="00703E71" w:rsidP="00703E71">
                  <w:pPr>
                    <w:spacing w:after="200" w:line="276" w:lineRule="auto"/>
                    <w:jc w:val="left"/>
                  </w:pPr>
                </w:p>
                <w:p w:rsidR="00C044B2" w:rsidRPr="00555E4B" w:rsidRDefault="00C044B2" w:rsidP="002525D6">
                  <w:pPr>
                    <w:pStyle w:val="Address2"/>
                  </w:pPr>
                </w:p>
              </w:txbxContent>
            </v:textbox>
            <w10:wrap anchorx="page" anchory="page"/>
          </v:shape>
        </w:pict>
      </w:r>
      <w:r w:rsidR="003E1D09">
        <w:rPr>
          <w:noProof/>
        </w:rPr>
        <w:pict>
          <v:shape id="_x0000_s1276" type="#_x0000_t202" style="position:absolute;left:0;text-align:left;margin-left:576.7pt;margin-top:119.6pt;width:168.5pt;height:83.3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mso-fit-shape-to-text:t" inset="2.85pt,2.85pt,2.85pt,2.85pt">
              <w:txbxContent>
                <w:p w:rsidR="00C044B2" w:rsidRPr="00AE7DD5" w:rsidRDefault="00703E71" w:rsidP="002B2296">
                  <w:pPr>
                    <w:pStyle w:val="Heading1"/>
                  </w:pPr>
                  <w:r>
                    <w:t>Classroom Strategies Founded on Brain-Based Research</w:t>
                  </w:r>
                  <w:r w:rsidR="003E1D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5pt;height:223.65pt">
                        <v:imagedata r:id="rId7" o:title="MP900439294[1]"/>
                      </v:shape>
                    </w:pict>
                  </w:r>
                </w:p>
              </w:txbxContent>
            </v:textbox>
            <w10:wrap anchorx="page" anchory="page"/>
          </v:shape>
        </w:pict>
      </w:r>
      <w:r w:rsidR="003E1D09">
        <w:rPr>
          <w:noProof/>
        </w:rPr>
        <w:pict>
          <v:shape id="_x0000_s1279" type="#_x0000_t202" style="position:absolute;left:0;text-align:left;margin-left:576.7pt;margin-top:61.6pt;width:168.5pt;height:26.4pt;z-index:7;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rsidR="00C044B2" w:rsidRPr="00B852CA" w:rsidRDefault="00703E71" w:rsidP="00B852CA">
                  <w:pPr>
                    <w:pStyle w:val="CompanyName"/>
                    <w:jc w:val="left"/>
                    <w:rPr>
                      <w:rFonts w:ascii="Arial" w:hAnsi="Arial"/>
                      <w:b/>
                    </w:rPr>
                  </w:pPr>
                  <w:r>
                    <w:rPr>
                      <w:rFonts w:ascii="Arial" w:hAnsi="Arial"/>
                      <w:b/>
                    </w:rPr>
                    <w:t xml:space="preserve">Teaching </w:t>
                  </w:r>
                  <w:r w:rsidR="005F530E">
                    <w:rPr>
                      <w:rFonts w:ascii="Arial" w:hAnsi="Arial"/>
                      <w:b/>
                    </w:rPr>
                    <w:t xml:space="preserve">Middle School </w:t>
                  </w:r>
                  <w:r>
                    <w:rPr>
                      <w:rFonts w:ascii="Arial" w:hAnsi="Arial"/>
                      <w:b/>
                    </w:rPr>
                    <w:t>Boys</w:t>
                  </w:r>
                </w:p>
              </w:txbxContent>
            </v:textbox>
            <w10:wrap anchorx="page" anchory="page"/>
          </v:shape>
        </w:pict>
      </w:r>
      <w:r w:rsidR="003E1D09">
        <w:rPr>
          <w:noProof/>
        </w:rPr>
        <w:pict>
          <v:shape id="_x0000_s1478" type="#_x0000_t202" style="position:absolute;left:0;text-align:left;margin-left:53.95pt;margin-top:176.4pt;width:156.2pt;height:94.6pt;z-index:18;mso-wrap-style:none;mso-position-horizontal-relative:page;mso-position-vertical-relative:page" filled="f" stroked="f">
            <v:textbox style="mso-next-textbox:#_x0000_s1478;mso-fit-shape-to-text:t">
              <w:txbxContent>
                <w:p w:rsidR="005B00E2" w:rsidRPr="005B00E2" w:rsidRDefault="003E1D09">
                  <w:r>
                    <w:pict>
                      <v:shape id="_x0000_i1026" type="#_x0000_t75" style="width:140.95pt;height:94.2pt">
                        <v:imagedata r:id="rId8" o:title="MP900439493[1]"/>
                      </v:shape>
                    </w:pict>
                  </w:r>
                </w:p>
              </w:txbxContent>
            </v:textbox>
            <w10:wrap anchorx="page" anchory="page"/>
          </v:shape>
        </w:pict>
      </w:r>
      <w:r w:rsidR="003E1D09">
        <w:rPr>
          <w:noProof/>
        </w:rPr>
        <w:pict>
          <v:shape id="_x0000_s1278" type="#_x0000_t202" style="position:absolute;left:0;text-align:left;margin-left:48.2pt;margin-top:85.6pt;width:167.75pt;height:33.8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mso-fit-shape-to-text:t" inset="2.85pt,2.85pt,2.85pt,2.85pt">
              <w:txbxContent>
                <w:p w:rsidR="00C044B2" w:rsidRPr="005B00E2" w:rsidRDefault="00703E71" w:rsidP="002B2296">
                  <w:pPr>
                    <w:pStyle w:val="Heading4"/>
                  </w:pPr>
                  <w:r>
                    <w:t>Salient Points</w:t>
                  </w:r>
                </w:p>
              </w:txbxContent>
            </v:textbox>
            <w10:wrap anchorx="page" anchory="page"/>
          </v:shape>
        </w:pict>
      </w:r>
      <w:r w:rsidR="003E1D09">
        <w:rPr>
          <w:noProof/>
        </w:rPr>
        <w:pict>
          <v:shape id="_x0000_s1281" type="#_x0000_t202" style="position:absolute;left:0;text-align:left;margin-left:0;margin-top:351.85pt;width:171pt;height:24.1pt;z-index:9;visibility:visible;mso-wrap-edited:f;mso-wrap-distance-left:2.88pt;mso-wrap-distance-top:2.88pt;mso-wrap-distance-right:2.88pt;mso-wrap-distance-bottom:2.88pt;mso-position-horizontal:center;mso-position-horizontal-relative:page;mso-position-vertical-relative:page" filled="f" stroked="f" strokeweight="0" insetpen="t" o:cliptowrap="t">
            <v:shadow color="#ccc"/>
            <o:lock v:ext="edit" shapetype="t"/>
            <v:textbox style="mso-next-textbox:#_x0000_s1281;mso-column-margin:5.7pt;mso-fit-shape-to-text:t" inset="2.85pt,2.85pt,2.85pt,2.85pt">
              <w:txbxContent>
                <w:p w:rsidR="00C044B2" w:rsidRPr="00F54F6A" w:rsidRDefault="00C044B2" w:rsidP="00F54F6A">
                  <w:pPr>
                    <w:pStyle w:val="Address"/>
                  </w:pPr>
                </w:p>
              </w:txbxContent>
            </v:textbox>
            <w10:wrap anchorx="page" anchory="page"/>
          </v:shape>
        </w:pict>
      </w:r>
      <w:r w:rsidR="003E1D09">
        <w:rPr>
          <w:noProof/>
        </w:rPr>
        <w:pict>
          <v:group id="_x0000_s1288" style="position:absolute;left:0;text-align:left;margin-left:576.7pt;margin-top:107.6pt;width:168.5pt;height:6.5pt;z-index:11;mso-position-horizontal-relative:page;mso-position-vertical-relative:page" coordorigin="251460,201168" coordsize="21396,822">
            <v:rect id="_x0000_s1289" style="position:absolute;left:251460;top:201168;width:7132;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90" style="position:absolute;left:258592;top:201168;width:713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91" style="position:absolute;left:265724;top:201168;width:713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sidR="003E1D09">
        <w:rPr>
          <w:noProof/>
        </w:rPr>
        <w:pict>
          <v:group id="_x0000_s1284" style="position:absolute;left:0;text-align:left;margin-left:48.2pt;margin-top:107.6pt;width:167.75pt;height:6.5pt;z-index:10;mso-position-horizontal-relative:page;mso-position-vertical-relative:page" coordorigin="184343,201168" coordsize="21305,822">
            <v:rect id="_x0000_s1285"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86"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87" style="position:absolute;left:198546;top:201168;width:710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sidR="003E1D09">
        <w:rPr>
          <w:noProof/>
        </w:rPr>
        <w:pict>
          <v:shape id="_x0000_s1280" type="#_x0000_t202" style="position:absolute;left:0;text-align:left;margin-left:576.7pt;margin-top:476.45pt;width:168.5pt;height:44.65pt;z-index: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mso-fit-shape-to-text:t" inset="2.85pt,2.85pt,2.85pt,2.85pt">
              <w:txbxContent>
                <w:p w:rsidR="00C044B2" w:rsidRPr="00F135A1" w:rsidRDefault="00703E71" w:rsidP="00F135A1">
                  <w:pPr>
                    <w:pStyle w:val="Tagline"/>
                  </w:pPr>
                  <w:r>
                    <w:t>Catharine Knapp</w:t>
                  </w:r>
                </w:p>
              </w:txbxContent>
            </v:textbox>
            <w10:wrap anchorx="page" anchory="page"/>
          </v:shape>
        </w:pict>
      </w:r>
      <w:r w:rsidR="003E1D09">
        <w:rPr>
          <w:noProof/>
        </w:rPr>
        <w:pict>
          <v:shape id="_x0000_s1275" type="#_x0000_t202" style="position:absolute;left:0;text-align:left;margin-left:576.7pt;margin-top:548.6pt;width:168.5pt;height:22.5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mso-fit-shape-to-text:t" inset="2.85pt,2.85pt,2.85pt,2.85pt">
              <w:txbxContent>
                <w:p w:rsidR="00C044B2" w:rsidRPr="005B00E2" w:rsidRDefault="00703E71" w:rsidP="002525D6">
                  <w:pPr>
                    <w:pStyle w:val="Address2"/>
                  </w:pPr>
                  <w:r>
                    <w:t>EDGR 535: Theories of Teaching and Learning</w:t>
                  </w:r>
                </w:p>
              </w:txbxContent>
            </v:textbox>
            <w10:wrap anchorx="page" anchory="page"/>
          </v:shape>
        </w:pict>
      </w:r>
      <w:r w:rsidR="003E1D09">
        <w:rPr>
          <w:noProof/>
        </w:rPr>
        <w:pict>
          <v:rect id="_x0000_s1036"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r w:rsidR="00041A1F">
        <w:br w:type="page"/>
      </w:r>
      <w:bookmarkStart w:id="0" w:name="_GoBack"/>
      <w:bookmarkEnd w:id="0"/>
      <w:r w:rsidR="005F530E">
        <w:rPr>
          <w:noProof/>
        </w:rPr>
        <w:lastRenderedPageBreak/>
        <w:pict>
          <v:shape id="_x0000_s1381" type="#_x0000_t202" style="position:absolute;left:0;text-align:left;margin-left:0;margin-top:101.2pt;width:223.45pt;height:505.65pt;z-index:14;visibility:visible;mso-wrap-edited:f;mso-wrap-distance-left:2.88pt;mso-wrap-distance-top:2.88pt;mso-wrap-distance-right:2.88pt;mso-wrap-distance-bottom:2.88pt;mso-position-horizontal:center;mso-position-horizontal-relative:page;mso-position-vertical-relative:page" filled="f" stroked="f" strokeweight="0" insetpen="t" o:cliptowrap="t">
            <v:shadow color="#ccc"/>
            <o:lock v:ext="edit" shapetype="t"/>
            <v:textbox style="mso-next-textbox:#_x0000_s1382;mso-column-margin:5.7pt" inset="2.85pt,2.85pt,2.85pt,2.85pt">
              <w:txbxContent>
                <w:p w:rsidR="00C044B2" w:rsidRPr="00182688" w:rsidRDefault="009E304F" w:rsidP="002B2296">
                  <w:pPr>
                    <w:pStyle w:val="Heading1"/>
                  </w:pPr>
                  <w:r>
                    <w:t>Classroom Implications</w:t>
                  </w:r>
                </w:p>
                <w:p w:rsidR="00276DC7" w:rsidRPr="00390007" w:rsidRDefault="00276DC7" w:rsidP="00390007">
                  <w:pPr>
                    <w:rPr>
                      <w:rFonts w:ascii="Tahoma" w:hAnsi="Tahoma" w:cs="Tahoma"/>
                      <w:sz w:val="20"/>
                      <w:szCs w:val="20"/>
                    </w:rPr>
                  </w:pPr>
                  <w:r w:rsidRPr="00390007">
                    <w:rPr>
                      <w:rFonts w:ascii="Tahoma" w:hAnsi="Tahoma" w:cs="Tahoma"/>
                      <w:sz w:val="20"/>
                      <w:szCs w:val="20"/>
                    </w:rPr>
                    <w:t xml:space="preserve">Boys are more likely to gain status </w:t>
                  </w:r>
                  <w:r w:rsidR="00390007">
                    <w:rPr>
                      <w:rFonts w:ascii="Tahoma" w:hAnsi="Tahoma" w:cs="Tahoma"/>
                      <w:sz w:val="20"/>
                      <w:szCs w:val="20"/>
                    </w:rPr>
                    <w:t xml:space="preserve">in their peer groups </w:t>
                  </w:r>
                  <w:r w:rsidRPr="00390007">
                    <w:rPr>
                      <w:rFonts w:ascii="Tahoma" w:hAnsi="Tahoma" w:cs="Tahoma"/>
                      <w:sz w:val="20"/>
                      <w:szCs w:val="20"/>
                    </w:rPr>
                    <w:t>by striving for dominance and working the pecking order.</w:t>
                  </w:r>
                  <w:r w:rsidR="00390007">
                    <w:rPr>
                      <w:rFonts w:ascii="Tahoma" w:hAnsi="Tahoma" w:cs="Tahoma"/>
                      <w:sz w:val="20"/>
                      <w:szCs w:val="20"/>
                    </w:rPr>
                    <w:t xml:space="preserve"> Add to this the fact that t</w:t>
                  </w:r>
                  <w:r w:rsidRPr="00390007">
                    <w:rPr>
                      <w:rFonts w:ascii="Tahoma" w:hAnsi="Tahoma" w:cs="Tahoma"/>
                      <w:sz w:val="20"/>
                      <w:szCs w:val="20"/>
                    </w:rPr>
                    <w:t>estosterone makes boys more aggressive and competitive by nature.</w:t>
                  </w:r>
                  <w:r w:rsidR="00390007">
                    <w:rPr>
                      <w:rFonts w:ascii="Tahoma" w:hAnsi="Tahoma" w:cs="Tahoma"/>
                      <w:sz w:val="20"/>
                      <w:szCs w:val="20"/>
                    </w:rPr>
                    <w:t xml:space="preserve"> Boys are more apt to want to participate if it is seen as a game or challenge.</w:t>
                  </w:r>
                </w:p>
                <w:p w:rsidR="00390007" w:rsidRPr="00390007" w:rsidRDefault="00276DC7" w:rsidP="00390007">
                  <w:pPr>
                    <w:rPr>
                      <w:rFonts w:ascii="Tahoma" w:hAnsi="Tahoma" w:cs="Tahoma"/>
                      <w:sz w:val="20"/>
                      <w:szCs w:val="20"/>
                    </w:rPr>
                  </w:pPr>
                  <w:r w:rsidRPr="00390007">
                    <w:rPr>
                      <w:rFonts w:ascii="Tahoma" w:hAnsi="Tahoma" w:cs="Tahoma"/>
                      <w:sz w:val="20"/>
                      <w:szCs w:val="20"/>
                    </w:rPr>
                    <w:t>Boys tend to process emotions in the same part of the brain where fig</w:t>
                  </w:r>
                  <w:r w:rsidR="00390007">
                    <w:rPr>
                      <w:rFonts w:ascii="Tahoma" w:hAnsi="Tahoma" w:cs="Tahoma"/>
                      <w:sz w:val="20"/>
                      <w:szCs w:val="20"/>
                    </w:rPr>
                    <w:t>ht-or-flight decisions are made, whereas g</w:t>
                  </w:r>
                  <w:r w:rsidRPr="00390007">
                    <w:rPr>
                      <w:rFonts w:ascii="Tahoma" w:hAnsi="Tahoma" w:cs="Tahoma"/>
                      <w:sz w:val="20"/>
                      <w:szCs w:val="20"/>
                    </w:rPr>
                    <w:t>irls process the same emotions where higher order thinking occurs.</w:t>
                  </w:r>
                  <w:r w:rsidR="00390007">
                    <w:rPr>
                      <w:rFonts w:ascii="Tahoma" w:hAnsi="Tahoma" w:cs="Tahoma"/>
                      <w:sz w:val="20"/>
                      <w:szCs w:val="20"/>
                    </w:rPr>
                    <w:t xml:space="preserve"> </w:t>
                  </w:r>
                  <w:r w:rsidR="00390007" w:rsidRPr="00390007">
                    <w:rPr>
                      <w:rFonts w:ascii="Tahoma" w:hAnsi="Tahoma" w:cs="Tahoma"/>
                      <w:sz w:val="20"/>
                      <w:szCs w:val="20"/>
                    </w:rPr>
                    <w:t xml:space="preserve">PET scans and MRIs conclude that a resting female brain is as active as an engaged male brain. This means that girls are able </w:t>
                  </w:r>
                  <w:r w:rsidR="005F530E">
                    <w:rPr>
                      <w:rFonts w:ascii="Tahoma" w:hAnsi="Tahoma" w:cs="Tahoma"/>
                      <w:sz w:val="20"/>
                      <w:szCs w:val="20"/>
                    </w:rPr>
                    <w:t xml:space="preserve">to </w:t>
                  </w:r>
                  <w:r w:rsidR="00390007" w:rsidRPr="00390007">
                    <w:rPr>
                      <w:rFonts w:ascii="Tahoma" w:hAnsi="Tahoma" w:cs="Tahoma"/>
                      <w:sz w:val="20"/>
                      <w:szCs w:val="20"/>
                    </w:rPr>
                    <w:t>process infor</w:t>
                  </w:r>
                  <w:r w:rsidR="005F530E">
                    <w:rPr>
                      <w:rFonts w:ascii="Tahoma" w:hAnsi="Tahoma" w:cs="Tahoma"/>
                      <w:sz w:val="20"/>
                      <w:szCs w:val="20"/>
                    </w:rPr>
                    <w:t>mation even when they’</w:t>
                  </w:r>
                  <w:r w:rsidR="00390007">
                    <w:rPr>
                      <w:rFonts w:ascii="Tahoma" w:hAnsi="Tahoma" w:cs="Tahoma"/>
                      <w:sz w:val="20"/>
                      <w:szCs w:val="20"/>
                    </w:rPr>
                    <w:t xml:space="preserve">re bored! This is not true for boys. In fact, the brains of boys have several rest phases and tend to “go to sleep” if not stimulated. This is why boys tend to stare off into space or put their heads down in the middle of class. Some boys develop self-stimulating strategies for staying engaged such as drumming on the desk, tapping their pencils, </w:t>
                  </w:r>
                  <w:r w:rsidR="005F530E">
                    <w:rPr>
                      <w:rFonts w:ascii="Tahoma" w:hAnsi="Tahoma" w:cs="Tahoma"/>
                      <w:sz w:val="20"/>
                      <w:szCs w:val="20"/>
                    </w:rPr>
                    <w:t xml:space="preserve">doodling, </w:t>
                  </w:r>
                  <w:r w:rsidR="00390007">
                    <w:rPr>
                      <w:rFonts w:ascii="Tahoma" w:hAnsi="Tahoma" w:cs="Tahoma"/>
                      <w:sz w:val="20"/>
                      <w:szCs w:val="20"/>
                    </w:rPr>
                    <w:t>standing at their seats, or bouncing their legs up and down.</w:t>
                  </w:r>
                </w:p>
                <w:p w:rsidR="00276DC7" w:rsidRPr="00261AE5" w:rsidRDefault="00390007" w:rsidP="00261AE5">
                  <w:pPr>
                    <w:rPr>
                      <w:rFonts w:ascii="Tahoma" w:hAnsi="Tahoma" w:cs="Tahoma"/>
                      <w:sz w:val="16"/>
                      <w:szCs w:val="20"/>
                    </w:rPr>
                  </w:pPr>
                  <w:r w:rsidRPr="00390007">
                    <w:rPr>
                      <w:rFonts w:ascii="Tahoma" w:hAnsi="Tahoma" w:cs="Tahoma"/>
                      <w:sz w:val="20"/>
                      <w:szCs w:val="20"/>
                    </w:rPr>
                    <w:t>Boys tend to manage decisions using a task force</w:t>
                  </w:r>
                  <w:r>
                    <w:rPr>
                      <w:rFonts w:ascii="Tahoma" w:hAnsi="Tahoma" w:cs="Tahoma"/>
                      <w:sz w:val="20"/>
                      <w:szCs w:val="20"/>
                    </w:rPr>
                    <w:t xml:space="preserve"> approach</w:t>
                  </w:r>
                  <w:r w:rsidRPr="00390007">
                    <w:rPr>
                      <w:rFonts w:ascii="Tahoma" w:hAnsi="Tahoma" w:cs="Tahoma"/>
                      <w:sz w:val="20"/>
                      <w:szCs w:val="20"/>
                    </w:rPr>
                    <w:t xml:space="preserve">. </w:t>
                  </w:r>
                  <w:r>
                    <w:rPr>
                      <w:rFonts w:ascii="Tahoma" w:hAnsi="Tahoma" w:cs="Tahoma"/>
                      <w:sz w:val="20"/>
                      <w:szCs w:val="20"/>
                    </w:rPr>
                    <w:t>They</w:t>
                  </w:r>
                  <w:r w:rsidRPr="00390007">
                    <w:rPr>
                      <w:rFonts w:ascii="Tahoma" w:hAnsi="Tahoma" w:cs="Tahoma"/>
                      <w:sz w:val="20"/>
                      <w:szCs w:val="20"/>
                    </w:rPr>
                    <w:t xml:space="preserve"> prioritize what is most important and decide on an </w:t>
                  </w:r>
                  <w:r w:rsidR="005F530E">
                    <w:rPr>
                      <w:rFonts w:ascii="Tahoma" w:hAnsi="Tahoma" w:cs="Tahoma"/>
                      <w:sz w:val="20"/>
                      <w:szCs w:val="20"/>
                    </w:rPr>
                    <w:t xml:space="preserve">immediate </w:t>
                  </w:r>
                  <w:r w:rsidRPr="00390007">
                    <w:rPr>
                      <w:rFonts w:ascii="Tahoma" w:hAnsi="Tahoma" w:cs="Tahoma"/>
                      <w:sz w:val="20"/>
                      <w:szCs w:val="20"/>
                    </w:rPr>
                    <w:t>action. Anything else might be ignored, making it hard for boys to redirect themselves if they get off task.</w:t>
                  </w:r>
                  <w:r w:rsidR="0018188D">
                    <w:rPr>
                      <w:rFonts w:ascii="Tahoma" w:hAnsi="Tahoma" w:cs="Tahoma"/>
                      <w:sz w:val="20"/>
                      <w:szCs w:val="20"/>
                    </w:rPr>
                    <w:t xml:space="preserve"> T</w:t>
                  </w:r>
                  <w:r>
                    <w:rPr>
                      <w:rFonts w:ascii="Tahoma" w:hAnsi="Tahoma" w:cs="Tahoma"/>
                      <w:sz w:val="20"/>
                      <w:szCs w:val="20"/>
                    </w:rPr>
                    <w:t xml:space="preserve">his seems impulsive, but boys actually take longer to process emotions than girls. </w:t>
                  </w:r>
                  <w:r w:rsidR="005F530E">
                    <w:rPr>
                      <w:rFonts w:ascii="Tahoma" w:hAnsi="Tahoma" w:cs="Tahoma"/>
                      <w:sz w:val="20"/>
                      <w:szCs w:val="20"/>
                    </w:rPr>
                    <w:t>Self-reflection and weighing consequences should be taught.</w:t>
                  </w:r>
                  <w:r w:rsidR="005F530E">
                    <w:rPr>
                      <w:rFonts w:ascii="Tahoma" w:hAnsi="Tahoma" w:cs="Tahoma"/>
                      <w:sz w:val="20"/>
                      <w:szCs w:val="20"/>
                    </w:rPr>
                    <w:br/>
                  </w:r>
                  <w:proofErr w:type="spellStart"/>
                  <w:r w:rsidRPr="00390007">
                    <w:rPr>
                      <w:rFonts w:ascii="Tahoma" w:hAnsi="Tahoma" w:cs="Tahoma"/>
                      <w:sz w:val="16"/>
                      <w:szCs w:val="20"/>
                    </w:rPr>
                    <w:t>Gurian</w:t>
                  </w:r>
                  <w:proofErr w:type="spellEnd"/>
                  <w:r w:rsidRPr="00390007">
                    <w:rPr>
                      <w:rFonts w:ascii="Tahoma" w:hAnsi="Tahoma" w:cs="Tahoma"/>
                      <w:sz w:val="16"/>
                      <w:szCs w:val="20"/>
                    </w:rPr>
                    <w:t>, 2011</w:t>
                  </w:r>
                </w:p>
                <w:p w:rsidR="00C539D0" w:rsidRDefault="009E304F" w:rsidP="002B2296">
                  <w:pPr>
                    <w:pStyle w:val="Heading1"/>
                  </w:pPr>
                  <w:r>
                    <w:t>Strategies for Teachers</w:t>
                  </w:r>
                </w:p>
                <w:p w:rsidR="00261AE5" w:rsidRPr="003E1D09" w:rsidRDefault="00261AE5" w:rsidP="003E1D09">
                  <w:pPr>
                    <w:pStyle w:val="BodyText"/>
                    <w:numPr>
                      <w:ilvl w:val="0"/>
                      <w:numId w:val="12"/>
                    </w:numPr>
                    <w:spacing w:line="240" w:lineRule="auto"/>
                    <w:rPr>
                      <w:rFonts w:cs="Tahoma"/>
                      <w:sz w:val="18"/>
                      <w:szCs w:val="20"/>
                    </w:rPr>
                  </w:pPr>
                  <w:r w:rsidRPr="003E1D09">
                    <w:rPr>
                      <w:sz w:val="18"/>
                    </w:rPr>
                    <w:t>Utilize gender sensitizing educational activities to combat gender stereotypes.</w:t>
                  </w:r>
                </w:p>
                <w:p w:rsidR="005F530E" w:rsidRPr="003E1D09" w:rsidRDefault="00261AE5" w:rsidP="003E1D09">
                  <w:pPr>
                    <w:pStyle w:val="BodyText"/>
                    <w:numPr>
                      <w:ilvl w:val="0"/>
                      <w:numId w:val="12"/>
                    </w:numPr>
                    <w:spacing w:line="240" w:lineRule="auto"/>
                    <w:rPr>
                      <w:rFonts w:cs="Tahoma"/>
                      <w:sz w:val="18"/>
                      <w:szCs w:val="20"/>
                    </w:rPr>
                  </w:pPr>
                  <w:r w:rsidRPr="003E1D09">
                    <w:rPr>
                      <w:rFonts w:cs="Tahoma"/>
                      <w:sz w:val="18"/>
                      <w:szCs w:val="20"/>
                    </w:rPr>
                    <w:t>Offer t</w:t>
                  </w:r>
                  <w:r w:rsidRPr="003E1D09">
                    <w:rPr>
                      <w:rFonts w:cs="Tahoma"/>
                      <w:sz w:val="18"/>
                      <w:szCs w:val="20"/>
                    </w:rPr>
                    <w:t>ask-oriented discussion</w:t>
                  </w:r>
                </w:p>
                <w:p w:rsidR="00261AE5" w:rsidRPr="003E1D09" w:rsidRDefault="00261AE5" w:rsidP="003E1D09">
                  <w:pPr>
                    <w:pStyle w:val="BodyText"/>
                    <w:numPr>
                      <w:ilvl w:val="0"/>
                      <w:numId w:val="12"/>
                    </w:numPr>
                    <w:spacing w:line="240" w:lineRule="auto"/>
                    <w:rPr>
                      <w:rFonts w:cs="Tahoma"/>
                      <w:sz w:val="18"/>
                      <w:szCs w:val="20"/>
                    </w:rPr>
                  </w:pPr>
                  <w:r w:rsidRPr="003E1D09">
                    <w:rPr>
                      <w:rFonts w:cs="Tahoma"/>
                      <w:sz w:val="18"/>
                      <w:szCs w:val="20"/>
                    </w:rPr>
                    <w:t>Plan h</w:t>
                  </w:r>
                  <w:r w:rsidRPr="003E1D09">
                    <w:rPr>
                      <w:rFonts w:cs="Tahoma"/>
                      <w:sz w:val="18"/>
                      <w:szCs w:val="20"/>
                    </w:rPr>
                    <w:t>ands-on activities</w:t>
                  </w:r>
                  <w:r w:rsidRPr="003E1D09">
                    <w:rPr>
                      <w:rFonts w:cs="Tahoma"/>
                      <w:sz w:val="18"/>
                      <w:szCs w:val="20"/>
                    </w:rPr>
                    <w:t xml:space="preserve"> that allow for interaction and physical movement</w:t>
                  </w:r>
                </w:p>
                <w:p w:rsidR="00261AE5" w:rsidRPr="003E1D09" w:rsidRDefault="00261AE5" w:rsidP="00261AE5">
                  <w:pPr>
                    <w:pStyle w:val="ListParagraph"/>
                    <w:numPr>
                      <w:ilvl w:val="0"/>
                      <w:numId w:val="12"/>
                    </w:numPr>
                    <w:rPr>
                      <w:rFonts w:ascii="Tahoma" w:hAnsi="Tahoma" w:cs="Tahoma"/>
                      <w:sz w:val="18"/>
                      <w:szCs w:val="20"/>
                    </w:rPr>
                  </w:pPr>
                  <w:r w:rsidRPr="003E1D09">
                    <w:rPr>
                      <w:rFonts w:ascii="Tahoma" w:hAnsi="Tahoma" w:cs="Tahoma"/>
                      <w:sz w:val="18"/>
                      <w:szCs w:val="20"/>
                    </w:rPr>
                    <w:t xml:space="preserve">Use </w:t>
                  </w:r>
                  <w:r w:rsidRPr="003E1D09">
                    <w:rPr>
                      <w:rFonts w:ascii="Tahoma" w:hAnsi="Tahoma" w:cs="Tahoma"/>
                      <w:sz w:val="18"/>
                      <w:szCs w:val="20"/>
                    </w:rPr>
                    <w:t>graphic organizers</w:t>
                  </w:r>
                  <w:r w:rsidRPr="003E1D09">
                    <w:rPr>
                      <w:rFonts w:ascii="Tahoma" w:hAnsi="Tahoma" w:cs="Tahoma"/>
                      <w:sz w:val="18"/>
                      <w:szCs w:val="20"/>
                    </w:rPr>
                    <w:t xml:space="preserve">, </w:t>
                  </w:r>
                  <w:r w:rsidR="005F530E" w:rsidRPr="003E1D09">
                    <w:rPr>
                      <w:rFonts w:ascii="Tahoma" w:hAnsi="Tahoma" w:cs="Tahoma"/>
                      <w:sz w:val="18"/>
                      <w:szCs w:val="20"/>
                    </w:rPr>
                    <w:t xml:space="preserve">diagrams, </w:t>
                  </w:r>
                  <w:r w:rsidRPr="003E1D09">
                    <w:rPr>
                      <w:rFonts w:ascii="Tahoma" w:hAnsi="Tahoma" w:cs="Tahoma"/>
                      <w:sz w:val="18"/>
                      <w:szCs w:val="20"/>
                    </w:rPr>
                    <w:t>s</w:t>
                  </w:r>
                  <w:r w:rsidRPr="003E1D09">
                    <w:rPr>
                      <w:rFonts w:ascii="Tahoma" w:hAnsi="Tahoma" w:cs="Tahoma"/>
                      <w:sz w:val="18"/>
                      <w:szCs w:val="20"/>
                    </w:rPr>
                    <w:t>toryboards and other illustrations</w:t>
                  </w:r>
                  <w:r w:rsidRPr="003E1D09">
                    <w:rPr>
                      <w:rFonts w:ascii="Tahoma" w:hAnsi="Tahoma" w:cs="Tahoma"/>
                      <w:sz w:val="18"/>
                      <w:szCs w:val="20"/>
                    </w:rPr>
                    <w:br/>
                  </w:r>
                </w:p>
                <w:p w:rsidR="00261AE5" w:rsidRPr="003E1D09" w:rsidRDefault="003E1D09" w:rsidP="00261AE5">
                  <w:pPr>
                    <w:pStyle w:val="ListParagraph"/>
                    <w:numPr>
                      <w:ilvl w:val="0"/>
                      <w:numId w:val="12"/>
                    </w:numPr>
                    <w:rPr>
                      <w:rFonts w:ascii="Tahoma" w:hAnsi="Tahoma" w:cs="Tahoma"/>
                      <w:sz w:val="18"/>
                      <w:szCs w:val="20"/>
                    </w:rPr>
                  </w:pPr>
                  <w:r>
                    <w:rPr>
                      <w:rFonts w:ascii="Tahoma" w:hAnsi="Tahoma" w:cs="Tahoma"/>
                      <w:sz w:val="18"/>
                      <w:szCs w:val="20"/>
                    </w:rPr>
                    <w:t>Allow for</w:t>
                  </w:r>
                  <w:r w:rsidR="00261AE5" w:rsidRPr="003E1D09">
                    <w:rPr>
                      <w:rFonts w:ascii="Tahoma" w:hAnsi="Tahoma" w:cs="Tahoma"/>
                      <w:sz w:val="18"/>
                      <w:szCs w:val="20"/>
                    </w:rPr>
                    <w:t xml:space="preserve"> a c</w:t>
                  </w:r>
                  <w:r w:rsidR="00261AE5" w:rsidRPr="003E1D09">
                    <w:rPr>
                      <w:rFonts w:ascii="Tahoma" w:hAnsi="Tahoma" w:cs="Tahoma"/>
                      <w:sz w:val="18"/>
                      <w:szCs w:val="20"/>
                    </w:rPr>
                    <w:t>hoice of topics</w:t>
                  </w:r>
                  <w:r w:rsidR="00863086" w:rsidRPr="003E1D09">
                    <w:rPr>
                      <w:rFonts w:ascii="Tahoma" w:hAnsi="Tahoma" w:cs="Tahoma"/>
                      <w:sz w:val="18"/>
                      <w:szCs w:val="20"/>
                    </w:rPr>
                    <w:t xml:space="preserve"> when possible</w:t>
                  </w:r>
                  <w:r w:rsidR="00261AE5" w:rsidRPr="003E1D09">
                    <w:rPr>
                      <w:rFonts w:ascii="Tahoma" w:hAnsi="Tahoma" w:cs="Tahoma"/>
                      <w:sz w:val="18"/>
                      <w:szCs w:val="20"/>
                    </w:rPr>
                    <w:br/>
                  </w:r>
                </w:p>
                <w:p w:rsidR="00261AE5" w:rsidRPr="003E1D09" w:rsidRDefault="00261AE5" w:rsidP="00261AE5">
                  <w:pPr>
                    <w:pStyle w:val="ListParagraph"/>
                    <w:numPr>
                      <w:ilvl w:val="0"/>
                      <w:numId w:val="12"/>
                    </w:numPr>
                    <w:rPr>
                      <w:rFonts w:ascii="Tahoma" w:hAnsi="Tahoma" w:cs="Tahoma"/>
                      <w:sz w:val="18"/>
                      <w:szCs w:val="20"/>
                    </w:rPr>
                  </w:pPr>
                  <w:r w:rsidRPr="003E1D09">
                    <w:rPr>
                      <w:rFonts w:ascii="Tahoma" w:hAnsi="Tahoma" w:cs="Tahoma"/>
                      <w:sz w:val="18"/>
                      <w:szCs w:val="20"/>
                    </w:rPr>
                    <w:t>Have parents sign homework</w:t>
                  </w:r>
                  <w:r w:rsidR="00755815" w:rsidRPr="003E1D09">
                    <w:rPr>
                      <w:rFonts w:ascii="Tahoma" w:hAnsi="Tahoma" w:cs="Tahoma"/>
                      <w:sz w:val="18"/>
                      <w:szCs w:val="20"/>
                    </w:rPr>
                    <w:t>, utilize calendars and agendas, an</w:t>
                  </w:r>
                  <w:r w:rsidR="003E1D09" w:rsidRPr="003E1D09">
                    <w:rPr>
                      <w:rFonts w:ascii="Tahoma" w:hAnsi="Tahoma" w:cs="Tahoma"/>
                      <w:sz w:val="18"/>
                      <w:szCs w:val="20"/>
                    </w:rPr>
                    <w:t>d teach organizational strategies</w:t>
                  </w:r>
                  <w:r w:rsidRPr="003E1D09">
                    <w:rPr>
                      <w:rFonts w:ascii="Tahoma" w:hAnsi="Tahoma" w:cs="Tahoma"/>
                      <w:sz w:val="18"/>
                      <w:szCs w:val="20"/>
                    </w:rPr>
                    <w:br/>
                  </w:r>
                </w:p>
                <w:p w:rsidR="00261AE5" w:rsidRPr="00261AE5" w:rsidRDefault="00261AE5" w:rsidP="00261AE5">
                  <w:pPr>
                    <w:pStyle w:val="ListParagraph"/>
                    <w:numPr>
                      <w:ilvl w:val="0"/>
                      <w:numId w:val="12"/>
                    </w:numPr>
                    <w:rPr>
                      <w:rFonts w:ascii="Tahoma" w:hAnsi="Tahoma" w:cs="Tahoma"/>
                      <w:sz w:val="20"/>
                      <w:szCs w:val="20"/>
                    </w:rPr>
                  </w:pPr>
                  <w:r w:rsidRPr="003E1D09">
                    <w:rPr>
                      <w:rFonts w:ascii="Tahoma" w:hAnsi="Tahoma" w:cs="Tahoma"/>
                      <w:sz w:val="18"/>
                      <w:szCs w:val="20"/>
                    </w:rPr>
                    <w:t>Offer single-gender learning environments</w:t>
                  </w:r>
                  <w:r w:rsidRPr="003E1D09">
                    <w:rPr>
                      <w:rFonts w:ascii="Tahoma" w:hAnsi="Tahoma" w:cs="Tahoma"/>
                      <w:sz w:val="18"/>
                      <w:szCs w:val="20"/>
                    </w:rPr>
                    <w:t xml:space="preserve"> when possible</w:t>
                  </w:r>
                  <w:r w:rsidRPr="003E1D09">
                    <w:rPr>
                      <w:rFonts w:ascii="Tahoma" w:hAnsi="Tahoma" w:cs="Tahoma"/>
                      <w:sz w:val="18"/>
                      <w:szCs w:val="20"/>
                    </w:rPr>
                    <w:br/>
                  </w:r>
                </w:p>
                <w:p w:rsidR="00261AE5" w:rsidRPr="003E1D09" w:rsidRDefault="00261AE5" w:rsidP="00261AE5">
                  <w:pPr>
                    <w:pStyle w:val="ListParagraph"/>
                    <w:numPr>
                      <w:ilvl w:val="0"/>
                      <w:numId w:val="12"/>
                    </w:numPr>
                    <w:rPr>
                      <w:rFonts w:ascii="Tahoma" w:hAnsi="Tahoma" w:cs="Tahoma"/>
                      <w:b/>
                      <w:sz w:val="18"/>
                      <w:szCs w:val="20"/>
                    </w:rPr>
                  </w:pPr>
                  <w:r w:rsidRPr="003E1D09">
                    <w:rPr>
                      <w:rFonts w:ascii="Tahoma" w:hAnsi="Tahoma" w:cs="Tahoma"/>
                      <w:sz w:val="18"/>
                      <w:szCs w:val="20"/>
                    </w:rPr>
                    <w:t>Make reading and writing meaningful and relevant</w:t>
                  </w:r>
                  <w:r w:rsidRPr="003E1D09">
                    <w:rPr>
                      <w:rFonts w:ascii="Tahoma" w:hAnsi="Tahoma" w:cs="Tahoma"/>
                      <w:sz w:val="18"/>
                      <w:szCs w:val="20"/>
                    </w:rPr>
                    <w:br/>
                  </w:r>
                </w:p>
                <w:p w:rsidR="00261AE5" w:rsidRPr="003E1D09" w:rsidRDefault="00261AE5" w:rsidP="00261AE5">
                  <w:pPr>
                    <w:pStyle w:val="ListParagraph"/>
                    <w:numPr>
                      <w:ilvl w:val="0"/>
                      <w:numId w:val="12"/>
                    </w:numPr>
                    <w:rPr>
                      <w:rFonts w:ascii="Tahoma" w:hAnsi="Tahoma" w:cs="Tahoma"/>
                      <w:b/>
                      <w:sz w:val="18"/>
                      <w:szCs w:val="20"/>
                    </w:rPr>
                  </w:pPr>
                  <w:r w:rsidRPr="003E1D09">
                    <w:rPr>
                      <w:rFonts w:ascii="Tahoma" w:hAnsi="Tahoma" w:cs="Tahoma"/>
                      <w:sz w:val="18"/>
                      <w:szCs w:val="20"/>
                    </w:rPr>
                    <w:t>Provide p</w:t>
                  </w:r>
                  <w:r w:rsidRPr="003E1D09">
                    <w:rPr>
                      <w:rFonts w:ascii="Tahoma" w:hAnsi="Tahoma" w:cs="Tahoma"/>
                      <w:sz w:val="18"/>
                      <w:szCs w:val="20"/>
                    </w:rPr>
                    <w:t>ositive male role models</w:t>
                  </w:r>
                  <w:r w:rsidRPr="003E1D09">
                    <w:rPr>
                      <w:rFonts w:ascii="Tahoma" w:hAnsi="Tahoma" w:cs="Tahoma"/>
                      <w:sz w:val="18"/>
                      <w:szCs w:val="20"/>
                    </w:rPr>
                    <w:br/>
                  </w:r>
                </w:p>
                <w:p w:rsidR="00261AE5" w:rsidRPr="003E1D09" w:rsidRDefault="00261AE5" w:rsidP="00261AE5">
                  <w:pPr>
                    <w:pStyle w:val="ListParagraph"/>
                    <w:numPr>
                      <w:ilvl w:val="0"/>
                      <w:numId w:val="12"/>
                    </w:numPr>
                    <w:rPr>
                      <w:sz w:val="20"/>
                    </w:rPr>
                  </w:pPr>
                  <w:r w:rsidRPr="003E1D09">
                    <w:rPr>
                      <w:rFonts w:ascii="Tahoma" w:hAnsi="Tahoma" w:cs="Tahoma"/>
                      <w:sz w:val="18"/>
                      <w:szCs w:val="20"/>
                    </w:rPr>
                    <w:t>Allow self-stimulating behavior</w:t>
                  </w:r>
                  <w:r w:rsidR="003E1D09" w:rsidRPr="003E1D09">
                    <w:rPr>
                      <w:rFonts w:ascii="Tahoma" w:hAnsi="Tahoma" w:cs="Tahoma"/>
                      <w:sz w:val="18"/>
                      <w:szCs w:val="20"/>
                    </w:rPr>
                    <w:br/>
                  </w:r>
                </w:p>
                <w:p w:rsidR="003E1D09" w:rsidRPr="003E1D09" w:rsidRDefault="003E1D09" w:rsidP="00261AE5">
                  <w:pPr>
                    <w:pStyle w:val="ListParagraph"/>
                    <w:numPr>
                      <w:ilvl w:val="0"/>
                      <w:numId w:val="12"/>
                    </w:numPr>
                    <w:rPr>
                      <w:sz w:val="20"/>
                    </w:rPr>
                  </w:pPr>
                  <w:r w:rsidRPr="003E1D09">
                    <w:rPr>
                      <w:rFonts w:ascii="Tahoma" w:hAnsi="Tahoma" w:cs="Tahoma"/>
                      <w:sz w:val="18"/>
                      <w:szCs w:val="20"/>
                    </w:rPr>
                    <w:t>Make activities competitive</w:t>
                  </w:r>
                  <w:r>
                    <w:rPr>
                      <w:rFonts w:ascii="Tahoma" w:hAnsi="Tahoma" w:cs="Tahoma"/>
                      <w:sz w:val="18"/>
                      <w:szCs w:val="20"/>
                    </w:rPr>
                    <w:br/>
                  </w:r>
                </w:p>
                <w:p w:rsidR="003E1D09" w:rsidRPr="003E1D09" w:rsidRDefault="003E1D09" w:rsidP="00261AE5">
                  <w:pPr>
                    <w:pStyle w:val="ListParagraph"/>
                    <w:numPr>
                      <w:ilvl w:val="0"/>
                      <w:numId w:val="12"/>
                    </w:numPr>
                    <w:rPr>
                      <w:sz w:val="20"/>
                    </w:rPr>
                  </w:pPr>
                  <w:r>
                    <w:rPr>
                      <w:rFonts w:ascii="Tahoma" w:hAnsi="Tahoma" w:cs="Tahoma"/>
                      <w:sz w:val="18"/>
                      <w:szCs w:val="20"/>
                    </w:rPr>
                    <w:t>Seat male students close to the teacher so they are able to hear instructions</w:t>
                  </w:r>
                </w:p>
              </w:txbxContent>
            </v:textbox>
            <w10:wrap side="left" anchorx="page" anchory="page"/>
          </v:shape>
        </w:pict>
      </w:r>
      <w:r w:rsidR="007764EC">
        <w:rPr>
          <w:noProof/>
          <w:lang w:eastAsia="ko-KR"/>
        </w:rPr>
        <w:pict>
          <v:rect id="_x0000_s1481" style="position:absolute;left:0;text-align:left;margin-left:563.7pt;margin-top:523.7pt;width:162pt;height:59.05pt;z-index:20;mso-position-horizontal-relative:page;mso-position-vertical-relative:page" fillcolor="#fff5c9" stroked="f">
            <v:imagedata embosscolor="shadow add(51)"/>
            <v:shadow on="t" color="#f90" opacity=".5" offset="6pt,6pt"/>
            <o:extrusion v:ext="view" backdepth="1in" rotationangle="25,25" viewpoint="0,0" viewpointorigin="0,0" skewangle="0" skewamt="0" lightposition=",-50000" type="perspective"/>
            <v:textbox style="mso-next-textbox:#_x0000_s1481" inset=",7.2pt,,7.2pt">
              <w:txbxContent>
                <w:p w:rsidR="00390007" w:rsidRPr="00261AE5" w:rsidRDefault="00390007" w:rsidP="00390007">
                  <w:pPr>
                    <w:pStyle w:val="BodyText"/>
                    <w:rPr>
                      <w:i/>
                      <w:sz w:val="18"/>
                    </w:rPr>
                  </w:pPr>
                  <w:r w:rsidRPr="00261AE5">
                    <w:rPr>
                      <w:i/>
                      <w:sz w:val="18"/>
                    </w:rPr>
                    <w:t>Boys need to be taught differently than girls because boys learn differently than girls.</w:t>
                  </w:r>
                </w:p>
                <w:p w:rsidR="003B01EE" w:rsidRPr="00B852CA" w:rsidRDefault="003B01EE" w:rsidP="00B852CA">
                  <w:pPr>
                    <w:pStyle w:val="BodyText2"/>
                    <w:rPr>
                      <w:rFonts w:ascii="Times New Roman" w:hAnsi="Times New Roman" w:cs="Times New Roman"/>
                    </w:rPr>
                  </w:pPr>
                </w:p>
              </w:txbxContent>
            </v:textbox>
            <w10:wrap anchorx="page" anchory="page"/>
          </v:rect>
        </w:pict>
      </w:r>
      <w:r w:rsidR="00755815">
        <w:rPr>
          <w:noProof/>
        </w:rPr>
        <w:pict>
          <v:shape id="_x0000_s1382" type="#_x0000_t202" style="position:absolute;left:0;text-align:left;margin-left:522.45pt;margin-top:101.2pt;width:203.25pt;height:430.5pt;z-index:1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rsidR="00276DC7">
        <w:rPr>
          <w:noProof/>
        </w:rPr>
        <w:pict>
          <v:shape id="_x0000_s1379" type="#_x0000_t202" style="position:absolute;left:0;text-align:left;margin-left:61.25pt;margin-top:240.05pt;width:162pt;height:323.25pt;z-index: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rsidR="00A21AF2" w:rsidRPr="00FA7DA1" w:rsidRDefault="00276DC7" w:rsidP="00FA7DA1">
                  <w:pPr>
                    <w:pStyle w:val="Heading1"/>
                  </w:pPr>
                  <w:r>
                    <w:t>The Power of Positive Role Models</w:t>
                  </w:r>
                </w:p>
                <w:p w:rsidR="00276DC7" w:rsidRDefault="00276DC7" w:rsidP="00C539D0">
                  <w:pPr>
                    <w:pStyle w:val="BodyText"/>
                  </w:pPr>
                  <w:r>
                    <w:t>Boys need positive male role models to emulate. The first of these should be the father, but times have changed to a point where the traditional nuclear family is not as common. Children wish to become more like the people they idolize. It is no wonder boys are often labeled as disruptive when they idolize pirates, ninjas, super heroes, wrestlers, and other risk takers. Men and boys have an innate desire to test their own strength and skills.</w:t>
                  </w:r>
                  <w:r w:rsidRPr="00276DC7">
                    <w:t xml:space="preserve"> </w:t>
                  </w:r>
                  <w:r>
                    <w:t>It is our duty to provide positive role models</w:t>
                  </w:r>
                  <w:r w:rsidR="005F530E">
                    <w:t xml:space="preserve"> f</w:t>
                  </w:r>
                  <w:r>
                    <w:t>o</w:t>
                  </w:r>
                  <w:r w:rsidR="005F530E">
                    <w:t>r</w:t>
                  </w:r>
                  <w:r>
                    <w:t xml:space="preserve"> our boys who can show them how to behave in a constructive, yet innovative way</w:t>
                  </w:r>
                  <w:r>
                    <w:t>.</w:t>
                  </w:r>
                </w:p>
                <w:p w:rsidR="00276DC7" w:rsidRPr="00390007" w:rsidRDefault="00276DC7" w:rsidP="00C539D0">
                  <w:pPr>
                    <w:pStyle w:val="BodyText"/>
                    <w:rPr>
                      <w:sz w:val="16"/>
                    </w:rPr>
                  </w:pPr>
                  <w:r w:rsidRPr="00390007">
                    <w:rPr>
                      <w:sz w:val="16"/>
                    </w:rPr>
                    <w:t>Young, 2010</w:t>
                  </w:r>
                </w:p>
              </w:txbxContent>
            </v:textbox>
            <w10:wrap side="left" anchorx="page" anchory="page"/>
          </v:shape>
        </w:pict>
      </w:r>
      <w:r w:rsidR="003E1D09">
        <w:rPr>
          <w:noProof/>
        </w:rPr>
        <w:pict>
          <v:shape id="_x0000_s1480" type="#_x0000_t202" style="position:absolute;left:0;text-align:left;margin-left:99.75pt;margin-top:111.7pt;width:84.9pt;height:113.6pt;z-index:19;mso-wrap-style:none;mso-position-horizontal-relative:page;mso-position-vertical-relative:page" filled="f" stroked="f">
            <v:textbox style="mso-next-textbox:#_x0000_s1480;mso-fit-shape-to-text:t">
              <w:txbxContent>
                <w:p w:rsidR="005B00E2" w:rsidRPr="005B00E2" w:rsidRDefault="005F530E" w:rsidP="00C90E50">
                  <w:pPr>
                    <w:jc w:val="left"/>
                  </w:pPr>
                  <w:r>
                    <w:pict>
                      <v:shape id="_x0000_i1027" type="#_x0000_t75" style="width:152.45pt;height:113.35pt">
                        <v:imagedata r:id="rId9" o:title="MC900435789[1]"/>
                      </v:shape>
                    </w:pict>
                  </w:r>
                </w:p>
              </w:txbxContent>
            </v:textbox>
            <w10:wrap anchorx="page" anchory="page"/>
          </v:shape>
        </w:pict>
      </w:r>
      <w:r w:rsidR="003E1D09">
        <w:rPr>
          <w:noProof/>
        </w:rPr>
        <w:pict>
          <v:shape id="_x0000_s1475" type="#_x0000_t202" style="position:absolute;left:0;text-align:left;margin-left:61.2pt;margin-top:222.45pt;width:162pt;height:25pt;z-index:17;visibility:visible;mso-wrap-edited:f;mso-wrap-distance-left:2.88pt;mso-wrap-distance-top:2.88pt;mso-wrap-distance-right:2.88pt;mso-wrap-distance-bottom:2.88pt;mso-position-horizontal-relative:page;mso-position-vertical-relative:page" filled="f" stroked="f" strokecolor="red" strokeweight="1pt" insetpen="t" o:cliptowrap="t">
            <v:shadow color="#ccc"/>
            <o:lock v:ext="edit" shapetype="t"/>
            <v:textbox style="mso-next-textbox:#_x0000_s1475;mso-column-margin:5.7pt" inset="2.85pt,2.85pt,2.85pt,2.85pt">
              <w:txbxContent>
                <w:p w:rsidR="00C044B2" w:rsidRPr="001F6B65" w:rsidRDefault="00C044B2" w:rsidP="001F6B65">
                  <w:pPr>
                    <w:pStyle w:val="Captiontext"/>
                  </w:pPr>
                </w:p>
              </w:txbxContent>
            </v:textbox>
            <w10:wrap side="left" anchorx="page" anchory="page"/>
          </v:shape>
        </w:pict>
      </w:r>
      <w:r w:rsidR="003E1D09">
        <w:rPr>
          <w:noProof/>
        </w:rPr>
        <w:pict>
          <v:shape id="_x0000_s1380" type="#_x0000_t202" style="position:absolute;left:0;text-align:left;margin-left:54.7pt;margin-top:70.65pt;width:598.35pt;height:33.8pt;z-index:1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mso-fit-shape-to-text:t" inset="2.85pt,2.85pt,2.85pt,2.85pt">
              <w:txbxContent>
                <w:p w:rsidR="00C044B2" w:rsidRPr="00C539D0" w:rsidRDefault="00C044B2" w:rsidP="00C35CA8">
                  <w:pPr>
                    <w:pStyle w:val="Heading4"/>
                  </w:pPr>
                </w:p>
              </w:txbxContent>
            </v:textbox>
            <w10:wrap side="left" anchorx="page" anchory="page"/>
          </v:shape>
        </w:pict>
      </w:r>
      <w:r w:rsidR="003E1D09">
        <w:rPr>
          <w:noProof/>
        </w:rPr>
        <w:pict>
          <v:group id="_x0000_s1384" style="position:absolute;left:0;text-align:left;margin-left:51.1pt;margin-top:91.9pt;width:674.1pt;height:6.5pt;z-index:16;mso-position-horizontal-relative:page;mso-position-vertical-relative:page" coordorigin="184343,201168" coordsize="84856,822">
            <v:rect id="_x0000_s1385" alt="Level bars" style="position:absolute;left:184343;top:201168;width:28285;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386" alt="level bars" style="position:absolute;left:212628;top:201168;width:28285;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level bars" style="position:absolute;left:240913;top:201168;width:28286;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17183156"/>
    <w:multiLevelType w:val="hybridMultilevel"/>
    <w:tmpl w:val="D79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131F2"/>
    <w:multiLevelType w:val="hybridMultilevel"/>
    <w:tmpl w:val="920C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373B2"/>
    <w:multiLevelType w:val="hybridMultilevel"/>
    <w:tmpl w:val="A19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068"/>
    <w:rsid w:val="00005933"/>
    <w:rsid w:val="000344AE"/>
    <w:rsid w:val="00041A1F"/>
    <w:rsid w:val="000D6F7F"/>
    <w:rsid w:val="000D7C6F"/>
    <w:rsid w:val="00105240"/>
    <w:rsid w:val="0015579E"/>
    <w:rsid w:val="0018188D"/>
    <w:rsid w:val="00182688"/>
    <w:rsid w:val="001F6B65"/>
    <w:rsid w:val="002525D6"/>
    <w:rsid w:val="00252D41"/>
    <w:rsid w:val="00257211"/>
    <w:rsid w:val="00261AE5"/>
    <w:rsid w:val="00276DC7"/>
    <w:rsid w:val="00293765"/>
    <w:rsid w:val="002B2296"/>
    <w:rsid w:val="002C2734"/>
    <w:rsid w:val="00305346"/>
    <w:rsid w:val="00316C3C"/>
    <w:rsid w:val="00336289"/>
    <w:rsid w:val="003806C9"/>
    <w:rsid w:val="00390007"/>
    <w:rsid w:val="003B01EE"/>
    <w:rsid w:val="003E1D09"/>
    <w:rsid w:val="003E6F76"/>
    <w:rsid w:val="00426C2D"/>
    <w:rsid w:val="00444F62"/>
    <w:rsid w:val="004A5E49"/>
    <w:rsid w:val="004F4BDA"/>
    <w:rsid w:val="00501573"/>
    <w:rsid w:val="00506068"/>
    <w:rsid w:val="005063B3"/>
    <w:rsid w:val="0051406B"/>
    <w:rsid w:val="00555E4B"/>
    <w:rsid w:val="00577262"/>
    <w:rsid w:val="005B00E2"/>
    <w:rsid w:val="005F4E6B"/>
    <w:rsid w:val="005F530E"/>
    <w:rsid w:val="00617216"/>
    <w:rsid w:val="006337B3"/>
    <w:rsid w:val="00675119"/>
    <w:rsid w:val="006C6D55"/>
    <w:rsid w:val="006F2236"/>
    <w:rsid w:val="00703E71"/>
    <w:rsid w:val="00733723"/>
    <w:rsid w:val="00755815"/>
    <w:rsid w:val="007764EC"/>
    <w:rsid w:val="00780BE7"/>
    <w:rsid w:val="007B6792"/>
    <w:rsid w:val="007D120A"/>
    <w:rsid w:val="00806EDE"/>
    <w:rsid w:val="00822E1A"/>
    <w:rsid w:val="00863086"/>
    <w:rsid w:val="008A3F72"/>
    <w:rsid w:val="008C4016"/>
    <w:rsid w:val="00977C8F"/>
    <w:rsid w:val="00995996"/>
    <w:rsid w:val="009E304F"/>
    <w:rsid w:val="00A21AF2"/>
    <w:rsid w:val="00A552CD"/>
    <w:rsid w:val="00A6625A"/>
    <w:rsid w:val="00AB30C6"/>
    <w:rsid w:val="00AC438C"/>
    <w:rsid w:val="00AE7DD5"/>
    <w:rsid w:val="00B852CA"/>
    <w:rsid w:val="00BC00DA"/>
    <w:rsid w:val="00C044B2"/>
    <w:rsid w:val="00C35CA8"/>
    <w:rsid w:val="00C41AB2"/>
    <w:rsid w:val="00C539D0"/>
    <w:rsid w:val="00C90E50"/>
    <w:rsid w:val="00CC7467"/>
    <w:rsid w:val="00CD2F29"/>
    <w:rsid w:val="00D07123"/>
    <w:rsid w:val="00D1738F"/>
    <w:rsid w:val="00D54691"/>
    <w:rsid w:val="00DB0D6C"/>
    <w:rsid w:val="00E13F68"/>
    <w:rsid w:val="00E46499"/>
    <w:rsid w:val="00E82706"/>
    <w:rsid w:val="00EC4517"/>
    <w:rsid w:val="00ED5EA3"/>
    <w:rsid w:val="00EE7898"/>
    <w:rsid w:val="00F135A1"/>
    <w:rsid w:val="00F17609"/>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8"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ibliography">
    <w:name w:val="Bibliography"/>
    <w:basedOn w:val="Normal"/>
    <w:next w:val="Normal"/>
    <w:uiPriority w:val="37"/>
    <w:unhideWhenUsed/>
    <w:rsid w:val="00703E71"/>
    <w:pPr>
      <w:spacing w:after="200" w:line="276" w:lineRule="auto"/>
      <w:jc w:val="left"/>
    </w:pPr>
    <w:rPr>
      <w:rFonts w:ascii="Calibri" w:eastAsia="Calibri" w:hAnsi="Calibri"/>
      <w:color w:val="auto"/>
      <w:kern w:val="0"/>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styleId="Emphasis">
    <w:name w:val="Emphasis"/>
    <w:qFormat/>
    <w:rsid w:val="00D07123"/>
    <w:rPr>
      <w:i/>
      <w:iCs/>
    </w:rPr>
  </w:style>
  <w:style w:type="paragraph" w:styleId="BalloonText">
    <w:name w:val="Balloon Text"/>
    <w:basedOn w:val="Normal"/>
    <w:link w:val="BalloonTextChar"/>
    <w:rsid w:val="00D54691"/>
    <w:pPr>
      <w:spacing w:after="0" w:line="240" w:lineRule="auto"/>
    </w:pPr>
    <w:rPr>
      <w:rFonts w:ascii="Tahoma" w:hAnsi="Tahoma" w:cs="Tahoma"/>
      <w:sz w:val="16"/>
      <w:szCs w:val="16"/>
    </w:rPr>
  </w:style>
  <w:style w:type="character" w:customStyle="1" w:styleId="BalloonTextChar">
    <w:name w:val="Balloon Text Char"/>
    <w:link w:val="BalloonText"/>
    <w:rsid w:val="00D54691"/>
    <w:rPr>
      <w:rFonts w:ascii="Tahoma" w:hAnsi="Tahoma" w:cs="Tahoma"/>
      <w:color w:val="000000"/>
      <w:kern w:val="28"/>
      <w:sz w:val="16"/>
      <w:szCs w:val="16"/>
    </w:rPr>
  </w:style>
  <w:style w:type="paragraph" w:styleId="ListParagraph">
    <w:name w:val="List Paragraph"/>
    <w:basedOn w:val="Normal"/>
    <w:uiPriority w:val="34"/>
    <w:qFormat/>
    <w:rsid w:val="00261AE5"/>
    <w:pPr>
      <w:spacing w:after="200" w:line="276" w:lineRule="auto"/>
      <w:ind w:left="720"/>
      <w:contextualSpacing/>
      <w:jc w:val="left"/>
    </w:pPr>
    <w:rPr>
      <w:rFonts w:ascii="Calibri" w:eastAsia="Calibri" w:hAnsi="Calibr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Hal10</b:Tag>
    <b:SourceType>Book</b:SourceType>
    <b:Guid>{FA480069-28AC-484F-8066-2D349BBEDDC5}</b:Guid>
    <b:Author>
      <b:Author>
        <b:NameList>
          <b:Person>
            <b:Last>Young</b:Last>
            <b:First>Hal</b:First>
            <b:Middle>Young and Melanie</b:Middle>
          </b:Person>
        </b:NameList>
      </b:Author>
    </b:Author>
    <b:Title>Raising real men: Surviving, teaching, and appreciating boys</b:Title>
    <b:Year>2010</b:Year>
    <b:City>Smithfield, NC</b:City>
    <b:Publisher>Great Waters Press</b:Publisher>
    <b:RefOrder>1</b:RefOrder>
  </b:Source>
  <b:Source>
    <b:Tag>Mic05</b:Tag>
    <b:SourceType>Book</b:SourceType>
    <b:Guid>{6AD3C934-B2D5-4EA2-B7AA-D631A6DAF5D3}</b:Guid>
    <b:Title>The minds of boys: Saving our sons from falling behind in school and life</b:Title>
    <b:Year>2005</b:Year>
    <b:Author>
      <b:Author>
        <b:NameList>
          <b:Person>
            <b:Last>Gurian</b:Last>
            <b:First>Michael</b:First>
          </b:Person>
        </b:NameList>
      </b:Author>
    </b:Author>
    <b:City>San Francisco, CA</b:City>
    <b:Publisher>Jossey-Bass</b:Publisher>
    <b:RefOrder>2</b:RefOrder>
  </b:Source>
  <b:Source>
    <b:Tag>Mic11</b:Tag>
    <b:SourceType>Book</b:SourceType>
    <b:Guid>{6CC86DCA-35BB-45B8-8DF9-26FC848CC63E}</b:Guid>
    <b:Author>
      <b:Author>
        <b:NameList>
          <b:Person>
            <b:Last>Gurian</b:Last>
            <b:First>Michael</b:First>
          </b:Person>
        </b:NameList>
      </b:Author>
    </b:Author>
    <b:Title>Boys and girls learn differently: A guide for teachers and parents</b:Title>
    <b:Year>2011</b:Year>
    <b:City>San Francisco, CA</b:City>
    <b:Publisher>Jossey-Bass</b:Publisher>
    <b:RefOrder>3</b:RefOrder>
  </b:Source>
  <b:Source>
    <b:Tag>htt</b:Tag>
    <b:SourceType>Book</b:SourceType>
    <b:Guid>{BA340268-9792-4AC3-9000-0775BE8C8495}</b:Guid>
    <b:URL>http://www.webster.edu/~woolflm/gilligan.html</b:URL>
    <b:Author>
      <b:Author>
        <b:NameList>
          <b:Person>
            <b:Last>Holz</b:Last>
            <b:First>Oliver</b:First>
          </b:Person>
        </b:NameList>
      </b:Author>
    </b:Author>
    <b:Title>Pedagogic approaches to learning and teaching with boys- A European perspective: Current situation trends findings</b:Title>
    <b:Year>2008</b:Year>
    <b:City>Munster, Germany</b:City>
    <b:Publisher>Waxmann</b:Publisher>
    <b:RefOrder>4</b:RefOrder>
  </b:Source>
  <b:Source>
    <b:Tag>Mic06</b:Tag>
    <b:SourceType>ArticleInAPeriodical</b:SourceType>
    <b:Guid>{E8887062-038C-433A-945A-1DC1E5449311}</b:Guid>
    <b:Title>Teaching to student strengths</b:Title>
    <b:Year>2006</b:Year>
    <b:Author>
      <b:Author>
        <b:NameList>
          <b:Person>
            <b:Last>Gurian</b:Last>
            <b:First>Michael</b:First>
            <b:Middle>and Kelly King</b:Middle>
          </b:Person>
        </b:NameList>
      </b:Author>
    </b:Author>
    <b:JournalName>Educational Leadership</b:JournalName>
    <b:Pages>56-61</b:Pages>
    <b:PeriodicalTitle>Educational Leadership</b:PeriodicalTitle>
    <b:Month>September</b:Month>
    <b:RefOrder>5</b:RefOrder>
  </b:Source>
  <b:Source>
    <b:Tag>Mic10</b:Tag>
    <b:SourceType>InternetSite</b:SourceType>
    <b:Guid>{723CBEE1-B9C5-4C07-A7BC-C98983CF859B}</b:Guid>
    <b:Title>10 essential standards for teaching boys effectively</b:Title>
    <b:Year>2010</b:Year>
    <b:Author>
      <b:Author>
        <b:NameList>
          <b:Person>
            <b:Last>Stevens</b:Last>
            <b:First>Michael</b:First>
            <b:Middle>Gurian and Kathy</b:Middle>
          </b:Person>
        </b:NameList>
      </b:Author>
    </b:Author>
    <b:InternetSiteTitle>ASCD Express</b:InternetSiteTitle>
    <b:YearAccessed>2012</b:YearAccessed>
    <b:URL>http://www.ascd.org/ascd-express/vol6/604-gurian.aspx</b:URL>
    <b:RefOrder>6</b:RefOrder>
  </b:Source>
</b:Sources>
</file>

<file path=customXml/itemProps1.xml><?xml version="1.0" encoding="utf-8"?>
<ds:datastoreItem xmlns:ds="http://schemas.openxmlformats.org/officeDocument/2006/customXml" ds:itemID="{935916C6-97CC-4E50-B0C7-F6E04F76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2003-07-07T18:19:00Z</cp:lastPrinted>
  <dcterms:created xsi:type="dcterms:W3CDTF">2012-08-16T18:05:00Z</dcterms:created>
  <dcterms:modified xsi:type="dcterms:W3CDTF">2012-08-17T23:20:00Z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